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24B4F9">
      <w:pPr>
        <w:spacing w:line="620" w:lineRule="exact"/>
        <w:jc w:val="left"/>
        <w:rPr>
          <w:rFonts w:ascii="黑体" w:hAnsi="黑体" w:eastAsia="黑体" w:cs="宋体"/>
          <w:sz w:val="32"/>
          <w:szCs w:val="32"/>
        </w:rPr>
      </w:pPr>
      <w:r>
        <w:rPr>
          <w:rFonts w:hint="eastAsia" w:ascii="黑体" w:hAnsi="黑体" w:eastAsia="黑体" w:cs="宋体"/>
          <w:sz w:val="32"/>
          <w:szCs w:val="32"/>
        </w:rPr>
        <w:t>附件10</w:t>
      </w:r>
    </w:p>
    <w:p w14:paraId="7DA09827">
      <w:pPr>
        <w:spacing w:line="620" w:lineRule="exact"/>
        <w:ind w:firstLine="640" w:firstLineChars="200"/>
        <w:jc w:val="left"/>
        <w:rPr>
          <w:rFonts w:ascii="仿宋_GB2312" w:hAnsi="宋体" w:eastAsia="仿宋_GB2312" w:cs="宋体"/>
          <w:sz w:val="32"/>
          <w:szCs w:val="32"/>
        </w:rPr>
      </w:pPr>
    </w:p>
    <w:p w14:paraId="46D45094">
      <w:pPr>
        <w:spacing w:line="620" w:lineRule="exact"/>
        <w:ind w:firstLine="883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同等学力在职硕士学位授予工作补充说明及答辩材料归档要求</w:t>
      </w:r>
    </w:p>
    <w:p w14:paraId="718DBE94">
      <w:pPr>
        <w:spacing w:line="620" w:lineRule="exact"/>
        <w:ind w:firstLine="643" w:firstLineChars="200"/>
        <w:jc w:val="center"/>
        <w:rPr>
          <w:rFonts w:ascii="仿宋_GB2312" w:hAnsi="宋体" w:eastAsia="仿宋_GB2312" w:cs="宋体"/>
          <w:b/>
          <w:bCs/>
          <w:sz w:val="32"/>
          <w:szCs w:val="32"/>
        </w:rPr>
      </w:pPr>
    </w:p>
    <w:p w14:paraId="268C79DE">
      <w:pPr>
        <w:spacing w:line="620" w:lineRule="exact"/>
        <w:ind w:firstLine="640" w:firstLineChars="200"/>
        <w:rPr>
          <w:rFonts w:ascii="黑体" w:hAnsi="黑体" w:eastAsia="黑体" w:cs="宋体"/>
          <w:bCs/>
          <w:sz w:val="32"/>
          <w:szCs w:val="32"/>
        </w:rPr>
      </w:pPr>
      <w:r>
        <w:rPr>
          <w:rFonts w:hint="eastAsia" w:ascii="黑体" w:hAnsi="黑体" w:eastAsia="黑体" w:cs="宋体"/>
          <w:bCs/>
          <w:sz w:val="32"/>
          <w:szCs w:val="32"/>
        </w:rPr>
        <w:t>一、学位论文答辩前相关工作</w:t>
      </w:r>
    </w:p>
    <w:p w14:paraId="78AF3926">
      <w:pPr>
        <w:spacing w:line="620" w:lineRule="exact"/>
        <w:ind w:firstLine="643" w:firstLineChars="200"/>
        <w:rPr>
          <w:rFonts w:ascii="楷体_GB2312" w:hAnsi="宋体" w:eastAsia="楷体_GB2312" w:cs="宋体"/>
          <w:b/>
          <w:bCs/>
          <w:sz w:val="32"/>
          <w:szCs w:val="32"/>
        </w:rPr>
      </w:pPr>
      <w:r>
        <w:rPr>
          <w:rFonts w:hint="eastAsia" w:ascii="楷体_GB2312" w:hAnsi="宋体" w:eastAsia="楷体_GB2312" w:cs="宋体"/>
          <w:b/>
          <w:bCs/>
          <w:sz w:val="32"/>
          <w:szCs w:val="32"/>
        </w:rPr>
        <w:t>（一）课程审核</w:t>
      </w:r>
    </w:p>
    <w:p w14:paraId="3EE39EE3">
      <w:pPr>
        <w:spacing w:line="62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专业核心课、专业方向课、专业课和专业外语课均需合格。未达到要求的在职硕士，不能进入答辩环节。</w:t>
      </w:r>
    </w:p>
    <w:p w14:paraId="046C63DB">
      <w:pPr>
        <w:spacing w:line="62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在职硕士登录本人学生版研究生管理系统，在“培养计划”—“培养过程”监控模块中查看“核心方向课程考核”“毕业考核”两个模块。若两个模块均显示“合格”，即视为课程审核通过。若两个模块中任意模块显示“未合格”，即视为课程审核不通过，未能达到答辩条件，不能进入答辩环节。对考核结果有异议者，请于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宋体"/>
          <w:sz w:val="32"/>
          <w:szCs w:val="32"/>
        </w:rPr>
        <w:t>月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17</w:t>
      </w:r>
      <w:r>
        <w:rPr>
          <w:rFonts w:hint="eastAsia" w:ascii="仿宋" w:hAnsi="仿宋" w:eastAsia="仿宋" w:cs="宋体"/>
          <w:sz w:val="32"/>
          <w:szCs w:val="32"/>
        </w:rPr>
        <w:t>日前到研究生院302办公室复核。</w:t>
      </w:r>
    </w:p>
    <w:p w14:paraId="7F0F4AB2">
      <w:pPr>
        <w:spacing w:line="620" w:lineRule="exact"/>
        <w:ind w:firstLine="643" w:firstLineChars="200"/>
        <w:rPr>
          <w:rFonts w:ascii="楷体_GB2312" w:hAnsi="宋体" w:eastAsia="楷体_GB2312" w:cs="宋体"/>
          <w:b/>
          <w:bCs/>
          <w:sz w:val="32"/>
          <w:szCs w:val="32"/>
        </w:rPr>
      </w:pPr>
      <w:r>
        <w:rPr>
          <w:rFonts w:hint="eastAsia" w:ascii="楷体_GB2312" w:hAnsi="宋体" w:eastAsia="楷体_GB2312" w:cs="宋体"/>
          <w:b/>
          <w:bCs/>
          <w:sz w:val="32"/>
          <w:szCs w:val="32"/>
        </w:rPr>
        <w:t>（二）培养环节审核</w:t>
      </w:r>
    </w:p>
    <w:p w14:paraId="333232F1">
      <w:pPr>
        <w:spacing w:line="62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1.开题报告要求同全日制硕士研究生，见附件1。</w:t>
      </w:r>
    </w:p>
    <w:p w14:paraId="223AD98D">
      <w:pPr>
        <w:spacing w:line="62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2.中期考核暂不要求。</w:t>
      </w:r>
    </w:p>
    <w:p w14:paraId="6F694D0F">
      <w:pPr>
        <w:spacing w:line="62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3.教学能力暂不要求。</w:t>
      </w:r>
    </w:p>
    <w:p w14:paraId="0CE5A942">
      <w:pPr>
        <w:spacing w:line="62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4.临床轮转：“旧规培”在职硕士按要求完成临床轮转后，须在我院“研究生教育管理系统”录入轮科计划、临床轮转记录和出科考核等。</w:t>
      </w:r>
    </w:p>
    <w:p w14:paraId="1485B4BF">
      <w:pPr>
        <w:spacing w:line="62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“旧规培”是指在《国家卫生计生委办公厅关于印发住院医师规范化培训基地认定标准（试行）和住院医师规范化培训内容与标准（试行）》（国卫办科教发〔2014〕48号）下发前完成住院医师规范化培训。</w:t>
      </w:r>
    </w:p>
    <w:p w14:paraId="28694823">
      <w:pPr>
        <w:spacing w:line="620" w:lineRule="exact"/>
        <w:ind w:firstLine="643" w:firstLineChars="200"/>
        <w:rPr>
          <w:rFonts w:ascii="楷体" w:hAnsi="楷体" w:eastAsia="楷体" w:cs="宋体"/>
          <w:b/>
          <w:bCs/>
          <w:sz w:val="32"/>
          <w:szCs w:val="32"/>
        </w:rPr>
      </w:pPr>
      <w:r>
        <w:rPr>
          <w:rFonts w:hint="eastAsia" w:ascii="楷体" w:hAnsi="楷体" w:eastAsia="楷体" w:cs="宋体"/>
          <w:b/>
          <w:bCs/>
          <w:sz w:val="32"/>
          <w:szCs w:val="32"/>
        </w:rPr>
        <w:t>（三）临床医学、口腔医学硕士专业学位研究生（含在职硕士）《医师资格证书》《住院医师规范化培训合格证书》录入及审核工作</w:t>
      </w:r>
    </w:p>
    <w:p w14:paraId="43B4C106">
      <w:pPr>
        <w:spacing w:line="62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同全日制硕士研究生，见附件1。</w:t>
      </w:r>
    </w:p>
    <w:p w14:paraId="0F67DA24">
      <w:pPr>
        <w:spacing w:line="620" w:lineRule="exact"/>
        <w:ind w:firstLine="640" w:firstLineChars="200"/>
        <w:rPr>
          <w:rFonts w:ascii="黑体" w:hAnsi="黑体" w:eastAsia="黑体" w:cs="宋体"/>
          <w:bCs/>
          <w:sz w:val="32"/>
          <w:szCs w:val="32"/>
        </w:rPr>
      </w:pPr>
      <w:r>
        <w:rPr>
          <w:rFonts w:hint="eastAsia" w:ascii="黑体" w:hAnsi="黑体" w:eastAsia="黑体" w:cs="宋体"/>
          <w:bCs/>
          <w:sz w:val="32"/>
          <w:szCs w:val="32"/>
        </w:rPr>
        <w:t>二、学位论文答辩相关工作</w:t>
      </w:r>
    </w:p>
    <w:p w14:paraId="4CBA6FB3">
      <w:pPr>
        <w:spacing w:line="62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同全日制研究生，见附件1。</w:t>
      </w:r>
    </w:p>
    <w:p w14:paraId="14439C35">
      <w:pPr>
        <w:spacing w:line="620" w:lineRule="exact"/>
        <w:ind w:firstLine="640" w:firstLineChars="200"/>
        <w:rPr>
          <w:rFonts w:ascii="黑体" w:hAnsi="黑体" w:eastAsia="黑体" w:cs="宋体"/>
          <w:bCs/>
          <w:sz w:val="32"/>
          <w:szCs w:val="32"/>
        </w:rPr>
      </w:pPr>
      <w:r>
        <w:rPr>
          <w:rFonts w:hint="eastAsia" w:ascii="黑体" w:hAnsi="黑体" w:eastAsia="黑体" w:cs="宋体"/>
          <w:bCs/>
          <w:sz w:val="32"/>
          <w:szCs w:val="32"/>
        </w:rPr>
        <w:t>三、学位授予审议相关工作</w:t>
      </w:r>
    </w:p>
    <w:p w14:paraId="2AF6C472">
      <w:pPr>
        <w:spacing w:line="62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同全日制研究生，见附件1。</w:t>
      </w:r>
    </w:p>
    <w:p w14:paraId="2E47B830">
      <w:pPr>
        <w:spacing w:line="620" w:lineRule="exact"/>
        <w:ind w:firstLine="640" w:firstLineChars="200"/>
        <w:rPr>
          <w:rFonts w:ascii="黑体" w:hAnsi="黑体" w:eastAsia="黑体" w:cs="宋体"/>
          <w:bCs/>
          <w:sz w:val="32"/>
          <w:szCs w:val="32"/>
        </w:rPr>
      </w:pPr>
      <w:r>
        <w:rPr>
          <w:rFonts w:hint="eastAsia" w:ascii="黑体" w:hAnsi="黑体" w:eastAsia="黑体" w:cs="宋体"/>
          <w:bCs/>
          <w:sz w:val="32"/>
          <w:szCs w:val="32"/>
        </w:rPr>
        <w:t>四、学位申请表提交</w:t>
      </w:r>
    </w:p>
    <w:p w14:paraId="43C1C2B7">
      <w:pPr>
        <w:numPr>
          <w:ilvl w:val="255"/>
          <w:numId w:val="0"/>
        </w:numPr>
        <w:spacing w:line="62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学位申请表审核、打印、收集、归档工作参照全日制研究生学位申请表的填写要求，在职硕士仅需提交学位申请表一式两份。</w:t>
      </w:r>
    </w:p>
    <w:p w14:paraId="6F29A3DB">
      <w:pPr>
        <w:spacing w:line="62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从系统打印合格的学位申请表后，</w:t>
      </w:r>
      <w:r>
        <w:rPr>
          <w:rFonts w:hint="eastAsia" w:ascii="仿宋" w:hAnsi="仿宋" w:eastAsia="仿宋" w:cs="仿宋"/>
          <w:sz w:val="32"/>
          <w:szCs w:val="32"/>
        </w:rPr>
        <w:t>在“二级学院学位评定委员会决议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及投票结果</w:t>
      </w:r>
      <w:r>
        <w:rPr>
          <w:rFonts w:hint="eastAsia" w:ascii="仿宋" w:hAnsi="仿宋" w:eastAsia="仿宋" w:cs="仿宋"/>
          <w:sz w:val="32"/>
          <w:szCs w:val="32"/>
        </w:rPr>
        <w:t>”栏的“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主席签章</w:t>
      </w:r>
      <w:r>
        <w:rPr>
          <w:rFonts w:hint="eastAsia" w:ascii="仿宋" w:hAnsi="仿宋" w:eastAsia="仿宋" w:cs="仿宋"/>
          <w:sz w:val="32"/>
          <w:szCs w:val="32"/>
        </w:rPr>
        <w:t>和公章”处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签字和</w:t>
      </w:r>
      <w:r>
        <w:rPr>
          <w:rFonts w:hint="eastAsia" w:ascii="仿宋" w:hAnsi="仿宋" w:eastAsia="仿宋" w:cs="仿宋"/>
          <w:sz w:val="32"/>
          <w:szCs w:val="32"/>
        </w:rPr>
        <w:t>盖章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，并在学校学位评定委员会会议召开后10天内汇总收齐并按学校 OA 流程申请校长签章和学校公章，完成盖章工作。若有错误、缺漏者，各培养单位应不予加盖“负责人公章和单位公章”、不应上交。</w:t>
      </w:r>
    </w:p>
    <w:p w14:paraId="3C8BEAC5">
      <w:pPr>
        <w:spacing w:line="620" w:lineRule="exact"/>
        <w:ind w:firstLine="640" w:firstLineChars="200"/>
        <w:rPr>
          <w:rFonts w:ascii="黑体" w:hAnsi="黑体" w:eastAsia="黑体" w:cs="宋体"/>
          <w:bCs/>
          <w:sz w:val="32"/>
          <w:szCs w:val="32"/>
        </w:rPr>
      </w:pPr>
      <w:r>
        <w:rPr>
          <w:rFonts w:hint="eastAsia" w:ascii="黑体" w:hAnsi="黑体" w:eastAsia="黑体" w:cs="宋体"/>
          <w:bCs/>
          <w:sz w:val="32"/>
          <w:szCs w:val="32"/>
        </w:rPr>
        <w:t>五、离校相关工作</w:t>
      </w:r>
    </w:p>
    <w:p w14:paraId="5BFF6225">
      <w:pPr>
        <w:spacing w:line="620" w:lineRule="exact"/>
        <w:ind w:firstLine="643" w:firstLineChars="200"/>
        <w:rPr>
          <w:rFonts w:ascii="楷体_GB2312" w:hAnsi="宋体" w:eastAsia="楷体_GB2312" w:cs="宋体"/>
          <w:b/>
          <w:bCs/>
          <w:sz w:val="32"/>
          <w:szCs w:val="32"/>
        </w:rPr>
      </w:pPr>
      <w:r>
        <w:rPr>
          <w:rFonts w:hint="eastAsia" w:ascii="楷体_GB2312" w:hAnsi="宋体" w:eastAsia="楷体_GB2312" w:cs="宋体"/>
          <w:b/>
          <w:bCs/>
          <w:sz w:val="32"/>
          <w:szCs w:val="32"/>
        </w:rPr>
        <w:t>（一）延期答辩手续办理流程</w:t>
      </w:r>
    </w:p>
    <w:p w14:paraId="132CBAD7">
      <w:pPr>
        <w:spacing w:line="62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1.有以下情况之一的研究生不能参加学位论文答辩：</w:t>
      </w:r>
    </w:p>
    <w:p w14:paraId="78627A46">
      <w:pPr>
        <w:spacing w:line="62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（1）未完成培养方案所规定的课程学习和学分；</w:t>
      </w:r>
    </w:p>
    <w:p w14:paraId="2C180BB4">
      <w:pPr>
        <w:spacing w:line="62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（2）未完成培养方案所规定的各项考核，考核成绩不合格；</w:t>
      </w:r>
    </w:p>
    <w:p w14:paraId="35EDC413">
      <w:pPr>
        <w:spacing w:line="62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（3）学位论文预答辩未通过；</w:t>
      </w:r>
    </w:p>
    <w:p w14:paraId="3B8C307C">
      <w:pPr>
        <w:spacing w:line="62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（4）学位论文预评阅中，被认定为“不符合当年毕业及学位授予条件的学位论文”；</w:t>
      </w:r>
    </w:p>
    <w:p w14:paraId="4C8E39A5">
      <w:pPr>
        <w:spacing w:line="62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（5）学位论文评阅中，有1名论文评阅专家不同意答辩且</w:t>
      </w:r>
      <w:r>
        <w:rPr>
          <w:rFonts w:hint="eastAsia" w:ascii="仿宋" w:hAnsi="仿宋" w:eastAsia="仿宋" w:cs="Times New Roman"/>
          <w:sz w:val="32"/>
          <w:szCs w:val="32"/>
        </w:rPr>
        <w:t>征求答辩委员会委员意见，</w:t>
      </w:r>
      <w:r>
        <w:rPr>
          <w:rFonts w:hint="eastAsia" w:ascii="仿宋" w:hAnsi="仿宋" w:eastAsia="仿宋" w:cs="宋体"/>
          <w:sz w:val="32"/>
          <w:szCs w:val="32"/>
        </w:rPr>
        <w:t>未达到三分之二以上委员同意答辩，或有2名论文评阅专家不同意答辩；</w:t>
      </w:r>
    </w:p>
    <w:p w14:paraId="03DF13E4">
      <w:pPr>
        <w:spacing w:line="62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（6）在学位论文中存在重大科研失信行为，且被查实为“存在严重问题论文”；</w:t>
      </w:r>
    </w:p>
    <w:p w14:paraId="1AF9EB63">
      <w:pPr>
        <w:spacing w:line="62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（7）因其它原因不能参加答辩。</w:t>
      </w:r>
    </w:p>
    <w:p w14:paraId="35910FB0">
      <w:pPr>
        <w:spacing w:line="620" w:lineRule="exact"/>
        <w:ind w:firstLine="640" w:firstLineChars="200"/>
        <w:rPr>
          <w:rFonts w:hint="default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</w:rPr>
        <w:t>2.不能参加答辩、学位论文答辩未通过、因其它原因申请延期答辩的在职硕士，须在“2024级学位班”QQ群群文件中下载、填写《广西医科大学同等学力在职硕士研究生延期答辩审批表》，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提</w:t>
      </w:r>
      <w:r>
        <w:rPr>
          <w:rFonts w:hint="eastAsia" w:ascii="仿宋" w:hAnsi="仿宋" w:eastAsia="仿宋" w:cs="宋体"/>
          <w:sz w:val="32"/>
          <w:szCs w:val="32"/>
        </w:rPr>
        <w:t>交至研究生院302办公室办理延期答辩手续，延期至下一年答辩。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已办理过延期答辩手续的学生，无需再办理。</w:t>
      </w:r>
    </w:p>
    <w:p w14:paraId="7DD97D42">
      <w:pPr>
        <w:spacing w:line="620" w:lineRule="exact"/>
        <w:ind w:firstLine="643" w:firstLineChars="200"/>
        <w:rPr>
          <w:rFonts w:ascii="楷体_GB2312" w:hAnsi="宋体" w:eastAsia="楷体_GB2312" w:cs="宋体"/>
          <w:b/>
          <w:bCs/>
          <w:sz w:val="32"/>
          <w:szCs w:val="32"/>
        </w:rPr>
      </w:pPr>
      <w:r>
        <w:rPr>
          <w:rFonts w:hint="eastAsia" w:ascii="楷体_GB2312" w:hAnsi="宋体" w:eastAsia="楷体_GB2312" w:cs="宋体"/>
          <w:b/>
          <w:bCs/>
          <w:sz w:val="32"/>
          <w:szCs w:val="32"/>
        </w:rPr>
        <w:t>（二）《广西医科大学研究生学位论文研究记录册》</w:t>
      </w:r>
    </w:p>
    <w:p w14:paraId="208B1525">
      <w:pPr>
        <w:spacing w:line="62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学术学位在职硕士同全日制研究生，见附件1。</w:t>
      </w:r>
    </w:p>
    <w:p w14:paraId="5AD85828">
      <w:pPr>
        <w:spacing w:line="62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专业学位在职硕士暂不要求</w:t>
      </w:r>
      <w:r>
        <w:rPr>
          <w:rFonts w:hint="eastAsia" w:ascii="仿宋_GB2312" w:hAnsi="宋体" w:eastAsia="仿宋_GB2312" w:cs="宋体"/>
          <w:sz w:val="32"/>
          <w:szCs w:val="32"/>
        </w:rPr>
        <w:t>。</w:t>
      </w:r>
    </w:p>
    <w:p w14:paraId="76F951B0">
      <w:pPr>
        <w:spacing w:line="620" w:lineRule="exact"/>
        <w:ind w:firstLine="643" w:firstLineChars="200"/>
        <w:rPr>
          <w:rFonts w:ascii="楷体_GB2312" w:hAnsi="宋体" w:eastAsia="楷体_GB2312" w:cs="宋体"/>
          <w:b/>
          <w:bCs/>
          <w:sz w:val="32"/>
          <w:szCs w:val="32"/>
        </w:rPr>
      </w:pPr>
      <w:r>
        <w:rPr>
          <w:rFonts w:hint="eastAsia" w:ascii="楷体_GB2312" w:hAnsi="宋体" w:eastAsia="楷体_GB2312" w:cs="宋体"/>
          <w:b/>
          <w:bCs/>
          <w:sz w:val="32"/>
          <w:szCs w:val="32"/>
        </w:rPr>
        <w:t>（三）正式学位论文电子版上传及纸质版提交</w:t>
      </w:r>
    </w:p>
    <w:p w14:paraId="54A1AA7D">
      <w:pPr>
        <w:spacing w:line="62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同全日制研究生（</w:t>
      </w:r>
      <w:r>
        <w:rPr>
          <w:rFonts w:hint="eastAsia" w:ascii="仿宋" w:hAnsi="仿宋" w:eastAsia="仿宋" w:cs="Times New Roman"/>
          <w:sz w:val="32"/>
          <w:szCs w:val="32"/>
        </w:rPr>
        <w:t>在职硕士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只</w:t>
      </w:r>
      <w:r>
        <w:rPr>
          <w:rFonts w:hint="eastAsia" w:ascii="仿宋" w:hAnsi="仿宋" w:eastAsia="仿宋" w:cs="Times New Roman"/>
          <w:sz w:val="32"/>
          <w:szCs w:val="32"/>
        </w:rPr>
        <w:t>需提交1本正式学位论文纸质版</w:t>
      </w:r>
      <w:r>
        <w:rPr>
          <w:rFonts w:hint="eastAsia" w:ascii="仿宋" w:hAnsi="仿宋" w:eastAsia="仿宋" w:cs="宋体"/>
          <w:sz w:val="32"/>
          <w:szCs w:val="32"/>
        </w:rPr>
        <w:t>），见附件1</w:t>
      </w:r>
      <w:r>
        <w:rPr>
          <w:rFonts w:hint="eastAsia" w:ascii="仿宋_GB2312" w:hAnsi="宋体" w:eastAsia="仿宋_GB2312" w:cs="宋体"/>
          <w:sz w:val="32"/>
          <w:szCs w:val="32"/>
        </w:rPr>
        <w:t>。</w:t>
      </w:r>
    </w:p>
    <w:p w14:paraId="5FEFABB9">
      <w:pPr>
        <w:spacing w:line="620" w:lineRule="exact"/>
        <w:ind w:firstLine="643" w:firstLineChars="200"/>
        <w:rPr>
          <w:rFonts w:ascii="楷体_GB2312" w:hAnsi="宋体" w:eastAsia="楷体_GB2312" w:cs="宋体"/>
          <w:b/>
          <w:bCs/>
          <w:sz w:val="32"/>
          <w:szCs w:val="32"/>
        </w:rPr>
      </w:pPr>
      <w:r>
        <w:rPr>
          <w:rFonts w:hint="eastAsia" w:ascii="楷体_GB2312" w:hAnsi="宋体" w:eastAsia="楷体_GB2312" w:cs="宋体"/>
          <w:b/>
          <w:bCs/>
          <w:sz w:val="32"/>
          <w:szCs w:val="32"/>
        </w:rPr>
        <w:t>（四）研究生教育评价现场调查</w:t>
      </w:r>
    </w:p>
    <w:p w14:paraId="6BD28150">
      <w:pPr>
        <w:spacing w:line="62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同全日制研究生，见附件1</w:t>
      </w:r>
      <w:r>
        <w:rPr>
          <w:rFonts w:hint="eastAsia" w:ascii="仿宋_GB2312" w:hAnsi="宋体" w:eastAsia="仿宋_GB2312" w:cs="宋体"/>
          <w:sz w:val="32"/>
          <w:szCs w:val="32"/>
        </w:rPr>
        <w:t>。</w:t>
      </w:r>
    </w:p>
    <w:p w14:paraId="56C50713">
      <w:pPr>
        <w:spacing w:line="620" w:lineRule="exact"/>
        <w:ind w:firstLine="643" w:firstLineChars="200"/>
        <w:rPr>
          <w:rFonts w:ascii="楷体_GB2312" w:hAnsi="宋体" w:eastAsia="楷体_GB2312" w:cs="宋体"/>
          <w:b/>
          <w:bCs/>
          <w:sz w:val="32"/>
          <w:szCs w:val="32"/>
        </w:rPr>
      </w:pPr>
      <w:r>
        <w:rPr>
          <w:rFonts w:hint="eastAsia" w:ascii="楷体_GB2312" w:hAnsi="宋体" w:eastAsia="楷体_GB2312" w:cs="宋体"/>
          <w:b/>
          <w:bCs/>
          <w:sz w:val="32"/>
          <w:szCs w:val="32"/>
        </w:rPr>
        <w:t>（五）离校手续办理</w:t>
      </w:r>
    </w:p>
    <w:p w14:paraId="3916EEEE">
      <w:pPr>
        <w:spacing w:line="62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经导师、二级学院、财务处审核通过，完成相关手续后方可离校（具体工作要求另行通知）。</w:t>
      </w:r>
    </w:p>
    <w:p w14:paraId="66CD1E1B">
      <w:pPr>
        <w:spacing w:line="620" w:lineRule="exact"/>
        <w:ind w:firstLine="643" w:firstLineChars="200"/>
        <w:rPr>
          <w:rFonts w:ascii="楷体_GB2312" w:hAnsi="宋体" w:eastAsia="楷体_GB2312" w:cs="宋体"/>
          <w:b/>
          <w:bCs/>
          <w:sz w:val="32"/>
          <w:szCs w:val="32"/>
        </w:rPr>
      </w:pPr>
      <w:r>
        <w:rPr>
          <w:rFonts w:ascii="楷体_GB2312" w:hAnsi="宋体" w:eastAsia="楷体_GB2312" w:cs="宋体"/>
          <w:b/>
          <w:bCs/>
          <w:sz w:val="32"/>
          <w:szCs w:val="32"/>
        </w:rPr>
        <w:t>（</w:t>
      </w:r>
      <w:r>
        <w:rPr>
          <w:rFonts w:hint="eastAsia" w:ascii="楷体_GB2312" w:hAnsi="宋体" w:eastAsia="楷体_GB2312" w:cs="宋体"/>
          <w:b/>
          <w:bCs/>
          <w:sz w:val="32"/>
          <w:szCs w:val="32"/>
        </w:rPr>
        <w:t>六</w:t>
      </w:r>
      <w:r>
        <w:rPr>
          <w:rFonts w:ascii="楷体_GB2312" w:hAnsi="宋体" w:eastAsia="楷体_GB2312" w:cs="宋体"/>
          <w:b/>
          <w:bCs/>
          <w:sz w:val="32"/>
          <w:szCs w:val="32"/>
        </w:rPr>
        <w:t>）答辩材料归档</w:t>
      </w:r>
    </w:p>
    <w:p w14:paraId="018E6C9E">
      <w:pPr>
        <w:spacing w:line="62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具体要求详见《广西医科大学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同等学力硕士学校档案归档</w:t>
      </w:r>
      <w:r>
        <w:rPr>
          <w:rFonts w:hint="eastAsia" w:ascii="仿宋" w:hAnsi="仿宋" w:eastAsia="仿宋" w:cs="宋体"/>
          <w:sz w:val="32"/>
          <w:szCs w:val="32"/>
        </w:rPr>
        <w:t>目录》（附件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10-1</w:t>
      </w:r>
      <w:r>
        <w:rPr>
          <w:rFonts w:hint="eastAsia" w:ascii="仿宋" w:hAnsi="仿宋" w:eastAsia="仿宋" w:cs="宋体"/>
          <w:sz w:val="32"/>
          <w:szCs w:val="32"/>
        </w:rPr>
        <w:t>）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宋体"/>
          <w:sz w:val="32"/>
          <w:szCs w:val="32"/>
        </w:rPr>
        <w:t>《广西医科大学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同等学力硕士学习档案</w:t>
      </w:r>
      <w:r>
        <w:rPr>
          <w:rFonts w:hint="eastAsia" w:ascii="仿宋" w:hAnsi="仿宋" w:eastAsia="仿宋" w:cs="宋体"/>
          <w:sz w:val="32"/>
          <w:szCs w:val="32"/>
        </w:rPr>
        <w:t>目录》（附件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10-2</w:t>
      </w:r>
      <w:r>
        <w:rPr>
          <w:rFonts w:hint="eastAsia" w:ascii="仿宋" w:hAnsi="仿宋" w:eastAsia="仿宋" w:cs="宋体"/>
          <w:sz w:val="32"/>
          <w:szCs w:val="32"/>
        </w:rPr>
        <w:t>）。</w:t>
      </w:r>
    </w:p>
    <w:p w14:paraId="2DB47670">
      <w:pPr>
        <w:spacing w:line="62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ascii="仿宋" w:hAnsi="仿宋" w:eastAsia="仿宋" w:cs="宋体"/>
          <w:sz w:val="32"/>
          <w:szCs w:val="32"/>
        </w:rPr>
        <w:t>各培养单位按照附件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10-</w:t>
      </w:r>
      <w:r>
        <w:rPr>
          <w:rFonts w:hint="eastAsia" w:ascii="仿宋" w:hAnsi="仿宋" w:eastAsia="仿宋" w:cs="宋体"/>
          <w:sz w:val="32"/>
          <w:szCs w:val="32"/>
        </w:rPr>
        <w:t>1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10-2</w:t>
      </w:r>
      <w:r>
        <w:rPr>
          <w:rFonts w:hint="eastAsia" w:ascii="仿宋" w:hAnsi="仿宋" w:eastAsia="仿宋" w:cs="宋体"/>
          <w:sz w:val="32"/>
          <w:szCs w:val="32"/>
        </w:rPr>
        <w:t>中的目录和要求</w:t>
      </w:r>
      <w:r>
        <w:rPr>
          <w:rFonts w:ascii="仿宋" w:hAnsi="仿宋" w:eastAsia="仿宋" w:cs="宋体"/>
          <w:sz w:val="32"/>
          <w:szCs w:val="32"/>
        </w:rPr>
        <w:t>复核档案袋内的材料无错误、缺漏后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，</w:t>
      </w:r>
      <w:r>
        <w:rPr>
          <w:rFonts w:ascii="仿宋" w:hAnsi="仿宋" w:eastAsia="仿宋" w:cs="宋体"/>
          <w:sz w:val="32"/>
          <w:szCs w:val="32"/>
        </w:rPr>
        <w:t>由各培养单位</w:t>
      </w:r>
      <w:r>
        <w:rPr>
          <w:rFonts w:hint="eastAsia" w:ascii="仿宋" w:hAnsi="仿宋" w:eastAsia="仿宋" w:cs="宋体"/>
          <w:sz w:val="32"/>
          <w:szCs w:val="32"/>
        </w:rPr>
        <w:t>按学号小号在上、大号在下的顺序，收齐后</w:t>
      </w:r>
      <w:r>
        <w:rPr>
          <w:rFonts w:ascii="仿宋" w:hAnsi="仿宋" w:eastAsia="仿宋" w:cs="宋体"/>
          <w:sz w:val="32"/>
          <w:szCs w:val="32"/>
        </w:rPr>
        <w:t>统一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将附件1</w:t>
      </w:r>
      <w:r>
        <w:rPr>
          <w:rFonts w:ascii="仿宋" w:hAnsi="仿宋" w:eastAsia="仿宋" w:cs="宋体"/>
          <w:sz w:val="32"/>
          <w:szCs w:val="32"/>
        </w:rPr>
        <w:t>交至</w:t>
      </w:r>
      <w:r>
        <w:rPr>
          <w:rFonts w:ascii="仿宋" w:hAnsi="仿宋" w:eastAsia="仿宋" w:cs="宋体"/>
          <w:sz w:val="32"/>
          <w:szCs w:val="32"/>
          <w:lang w:val="en-US" w:eastAsia="zh-CN"/>
        </w:rPr>
        <w:t>校本部学校档案馆</w:t>
      </w:r>
      <w:r>
        <w:rPr>
          <w:rFonts w:ascii="仿宋" w:hAnsi="仿宋" w:eastAsia="仿宋" w:cs="宋体"/>
          <w:sz w:val="32"/>
          <w:szCs w:val="32"/>
        </w:rPr>
        <w:t>，</w:t>
      </w:r>
      <w:r>
        <w:rPr>
          <w:rFonts w:hint="eastAsia" w:ascii="仿宋" w:hAnsi="仿宋" w:eastAsia="仿宋" w:cs="宋体"/>
          <w:sz w:val="32"/>
          <w:szCs w:val="32"/>
        </w:rPr>
        <w:t>同时需提交签字、盖章的《广西医科大学2025届研究生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同等学力硕士</w:t>
      </w:r>
      <w:r>
        <w:rPr>
          <w:rFonts w:hint="eastAsia" w:ascii="仿宋" w:hAnsi="仿宋" w:eastAsia="仿宋" w:cs="宋体"/>
          <w:sz w:val="32"/>
          <w:szCs w:val="32"/>
        </w:rPr>
        <w:t>档案归档材料移交登记表）》</w:t>
      </w:r>
      <w:r>
        <w:rPr>
          <w:rFonts w:ascii="仿宋" w:hAnsi="仿宋" w:eastAsia="仿宋" w:cs="宋体"/>
          <w:sz w:val="32"/>
          <w:szCs w:val="32"/>
        </w:rPr>
        <w:t>（</w:t>
      </w:r>
      <w:r>
        <w:rPr>
          <w:rFonts w:hint="eastAsia" w:ascii="仿宋" w:hAnsi="仿宋" w:eastAsia="仿宋" w:cs="宋体"/>
          <w:sz w:val="32"/>
          <w:szCs w:val="32"/>
        </w:rPr>
        <w:t>附件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10-3</w:t>
      </w:r>
      <w:r>
        <w:rPr>
          <w:rFonts w:ascii="仿宋" w:hAnsi="仿宋" w:eastAsia="仿宋" w:cs="宋体"/>
          <w:sz w:val="32"/>
          <w:szCs w:val="32"/>
        </w:rPr>
        <w:t>）</w:t>
      </w:r>
      <w:r>
        <w:rPr>
          <w:rFonts w:hint="eastAsia" w:ascii="仿宋" w:hAnsi="仿宋" w:eastAsia="仿宋" w:cs="宋体"/>
          <w:sz w:val="32"/>
          <w:szCs w:val="32"/>
        </w:rPr>
        <w:t>纸质版一份</w:t>
      </w:r>
      <w:r>
        <w:rPr>
          <w:rFonts w:ascii="仿宋" w:hAnsi="仿宋" w:eastAsia="仿宋" w:cs="宋体"/>
          <w:sz w:val="32"/>
          <w:szCs w:val="32"/>
        </w:rPr>
        <w:t>。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将附件2</w:t>
      </w:r>
      <w:r>
        <w:rPr>
          <w:rFonts w:ascii="仿宋" w:hAnsi="仿宋" w:eastAsia="仿宋" w:cs="宋体"/>
          <w:sz w:val="32"/>
          <w:szCs w:val="32"/>
        </w:rPr>
        <w:t>交至</w:t>
      </w:r>
      <w:r>
        <w:rPr>
          <w:rFonts w:ascii="仿宋" w:hAnsi="仿宋" w:eastAsia="仿宋" w:cs="宋体"/>
          <w:sz w:val="32"/>
          <w:szCs w:val="32"/>
          <w:lang w:val="en-US" w:eastAsia="zh-CN"/>
        </w:rPr>
        <w:t>校本部</w:t>
      </w:r>
      <w:r>
        <w:rPr>
          <w:rFonts w:hint="eastAsia" w:ascii="仿宋" w:hAnsi="仿宋" w:eastAsia="仿宋" w:cs="宋体"/>
          <w:sz w:val="32"/>
          <w:szCs w:val="32"/>
        </w:rPr>
        <w:t>研究生院302办公室</w:t>
      </w:r>
      <w:r>
        <w:rPr>
          <w:rFonts w:ascii="仿宋" w:hAnsi="仿宋" w:eastAsia="仿宋" w:cs="宋体"/>
          <w:sz w:val="32"/>
          <w:szCs w:val="32"/>
        </w:rPr>
        <w:t>，</w:t>
      </w:r>
      <w:r>
        <w:rPr>
          <w:rFonts w:hint="eastAsia" w:ascii="仿宋" w:hAnsi="仿宋" w:eastAsia="仿宋" w:cs="宋体"/>
          <w:sz w:val="32"/>
          <w:szCs w:val="32"/>
        </w:rPr>
        <w:t>同时需提交签字、盖章的《广西医科大学2025届研究生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同等学力硕士</w:t>
      </w:r>
      <w:r>
        <w:rPr>
          <w:rFonts w:hint="eastAsia" w:ascii="仿宋" w:hAnsi="仿宋" w:eastAsia="仿宋" w:cs="宋体"/>
          <w:sz w:val="32"/>
          <w:szCs w:val="32"/>
        </w:rPr>
        <w:t>档案归档材料移交登记表）》</w:t>
      </w:r>
      <w:r>
        <w:rPr>
          <w:rFonts w:ascii="仿宋" w:hAnsi="仿宋" w:eastAsia="仿宋" w:cs="宋体"/>
          <w:sz w:val="32"/>
          <w:szCs w:val="32"/>
        </w:rPr>
        <w:t>（</w:t>
      </w:r>
      <w:r>
        <w:rPr>
          <w:rFonts w:hint="eastAsia" w:ascii="仿宋" w:hAnsi="仿宋" w:eastAsia="仿宋" w:cs="宋体"/>
          <w:sz w:val="32"/>
          <w:szCs w:val="32"/>
        </w:rPr>
        <w:t>附件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10-3</w:t>
      </w:r>
      <w:r>
        <w:rPr>
          <w:rFonts w:ascii="仿宋" w:hAnsi="仿宋" w:eastAsia="仿宋" w:cs="宋体"/>
          <w:sz w:val="32"/>
          <w:szCs w:val="32"/>
        </w:rPr>
        <w:t>）</w:t>
      </w:r>
      <w:r>
        <w:rPr>
          <w:rFonts w:hint="eastAsia" w:ascii="仿宋" w:hAnsi="仿宋" w:eastAsia="仿宋" w:cs="宋体"/>
          <w:sz w:val="32"/>
          <w:szCs w:val="32"/>
        </w:rPr>
        <w:t>纸质版一份</w:t>
      </w:r>
      <w:r>
        <w:rPr>
          <w:rFonts w:ascii="仿宋" w:hAnsi="仿宋" w:eastAsia="仿宋" w:cs="宋体"/>
          <w:sz w:val="32"/>
          <w:szCs w:val="32"/>
        </w:rPr>
        <w:t>。有错误、缺漏的档案各培养单位不应上交。</w:t>
      </w:r>
    </w:p>
    <w:p w14:paraId="6418AAFF">
      <w:pPr>
        <w:spacing w:line="620" w:lineRule="exact"/>
        <w:ind w:firstLine="643" w:firstLineChars="200"/>
        <w:rPr>
          <w:rFonts w:ascii="Times New Roman" w:hAnsi="Times New Roman" w:eastAsia="楷体_GB2312" w:cs="Times New Roman"/>
          <w:b/>
          <w:sz w:val="32"/>
          <w:szCs w:val="32"/>
        </w:rPr>
      </w:pPr>
      <w:r>
        <w:rPr>
          <w:rFonts w:hint="eastAsia" w:ascii="Times New Roman" w:hAnsi="Times New Roman" w:eastAsia="楷体_GB2312" w:cs="Times New Roman"/>
          <w:b/>
          <w:sz w:val="32"/>
          <w:szCs w:val="32"/>
        </w:rPr>
        <w:t>（六）</w:t>
      </w:r>
      <w:r>
        <w:rPr>
          <w:rFonts w:ascii="Times New Roman" w:hAnsi="Times New Roman" w:eastAsia="楷体_GB2312" w:cs="Times New Roman"/>
          <w:b/>
          <w:sz w:val="32"/>
          <w:szCs w:val="32"/>
        </w:rPr>
        <w:t>领取毕业和学位证书</w:t>
      </w:r>
    </w:p>
    <w:p w14:paraId="53B5F7BD">
      <w:pPr>
        <w:spacing w:line="62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证书领取安排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由各培养单位</w:t>
      </w:r>
      <w:r>
        <w:rPr>
          <w:rFonts w:ascii="仿宋" w:hAnsi="仿宋" w:eastAsia="仿宋" w:cs="Times New Roman"/>
          <w:sz w:val="32"/>
          <w:szCs w:val="32"/>
        </w:rPr>
        <w:t>另行通知。</w:t>
      </w:r>
    </w:p>
    <w:p w14:paraId="563D393E">
      <w:pPr>
        <w:spacing w:line="62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同全日制研究生，见附件1</w:t>
      </w:r>
      <w:r>
        <w:rPr>
          <w:rFonts w:hint="eastAsia" w:ascii="仿宋_GB2312" w:hAnsi="宋体" w:eastAsia="仿宋_GB2312" w:cs="宋体"/>
          <w:sz w:val="32"/>
          <w:szCs w:val="32"/>
        </w:rPr>
        <w:t>。</w:t>
      </w:r>
    </w:p>
    <w:p w14:paraId="628801B5">
      <w:pPr>
        <w:spacing w:line="62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</w:p>
    <w:p w14:paraId="04670ECD">
      <w:pPr>
        <w:spacing w:line="620" w:lineRule="exact"/>
        <w:ind w:firstLine="640" w:firstLineChars="200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附件：10-1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sz w:val="32"/>
          <w:szCs w:val="32"/>
        </w:rPr>
        <w:t>在职硕士论文答辩材料归档目录</w:t>
      </w:r>
    </w:p>
    <w:p w14:paraId="75812086">
      <w:pPr>
        <w:spacing w:line="620" w:lineRule="exact"/>
        <w:ind w:firstLine="640" w:firstLineChars="200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 xml:space="preserve">      10-2 </w:t>
      </w:r>
      <w:r>
        <w:rPr>
          <w:rFonts w:hint="eastAsia" w:ascii="仿宋" w:hAnsi="仿宋" w:eastAsia="仿宋" w:cs="宋体"/>
          <w:b w:val="0"/>
          <w:bCs w:val="0"/>
          <w:sz w:val="32"/>
          <w:szCs w:val="32"/>
        </w:rPr>
        <w:t>广西医科大学</w:t>
      </w:r>
      <w:r>
        <w:rPr>
          <w:rFonts w:hint="eastAsia" w:ascii="仿宋" w:hAnsi="仿宋" w:eastAsia="仿宋" w:cs="宋体"/>
          <w:b w:val="0"/>
          <w:bCs w:val="0"/>
          <w:sz w:val="32"/>
          <w:szCs w:val="32"/>
          <w:lang w:val="en-US" w:eastAsia="zh-CN"/>
        </w:rPr>
        <w:t>同等学力硕士学习档案</w:t>
      </w:r>
      <w:r>
        <w:rPr>
          <w:rFonts w:hint="eastAsia" w:ascii="仿宋" w:hAnsi="仿宋" w:eastAsia="仿宋" w:cs="宋体"/>
          <w:b w:val="0"/>
          <w:bCs w:val="0"/>
          <w:sz w:val="32"/>
          <w:szCs w:val="32"/>
        </w:rPr>
        <w:t>目录</w:t>
      </w:r>
    </w:p>
    <w:p w14:paraId="14E4F391">
      <w:pPr>
        <w:spacing w:line="620" w:lineRule="exact"/>
        <w:ind w:firstLine="640" w:firstLineChars="200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 xml:space="preserve">      10-3 </w:t>
      </w:r>
      <w:r>
        <w:rPr>
          <w:rFonts w:hint="eastAsia" w:ascii="仿宋" w:hAnsi="仿宋" w:eastAsia="仿宋" w:cs="宋体"/>
          <w:i w:val="0"/>
          <w:iCs w:val="0"/>
          <w:kern w:val="2"/>
          <w:sz w:val="32"/>
          <w:szCs w:val="32"/>
          <w:u w:val="none"/>
          <w:lang w:val="en-US" w:eastAsia="zh-CN" w:bidi="ar"/>
        </w:rPr>
        <w:t>广西医科大学2025届同等学力硕士档案归档材料移交登记表</w:t>
      </w:r>
    </w:p>
    <w:p w14:paraId="6071E95C">
      <w:pPr>
        <w:spacing w:line="62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</w:p>
    <w:p w14:paraId="407A4BC4">
      <w:pPr>
        <w:spacing w:line="62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</w:p>
    <w:p w14:paraId="274A5290">
      <w:pPr>
        <w:spacing w:line="62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</w:p>
    <w:p w14:paraId="7C840E8A">
      <w:pPr>
        <w:spacing w:line="62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</w:p>
    <w:p w14:paraId="0D29182C">
      <w:pPr>
        <w:spacing w:line="62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</w:p>
    <w:p w14:paraId="56F2A5AA">
      <w:pPr>
        <w:spacing w:line="62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</w:p>
    <w:p w14:paraId="32593BE8">
      <w:pPr>
        <w:spacing w:line="62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</w:p>
    <w:p w14:paraId="4874DFCC">
      <w:pPr>
        <w:spacing w:line="62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</w:p>
    <w:p w14:paraId="290BB603">
      <w:pPr>
        <w:spacing w:line="620" w:lineRule="exact"/>
        <w:ind w:firstLine="0" w:firstLineChars="0"/>
        <w:rPr>
          <w:rFonts w:ascii="仿宋_GB2312" w:hAnsi="宋体" w:eastAsia="仿宋_GB2312" w:cs="宋体"/>
          <w:sz w:val="32"/>
          <w:szCs w:val="32"/>
        </w:rPr>
      </w:pPr>
    </w:p>
    <w:p w14:paraId="767D28D8">
      <w:pPr>
        <w:spacing w:line="620" w:lineRule="exact"/>
        <w:ind w:firstLine="0" w:firstLineChars="0"/>
        <w:rPr>
          <w:rFonts w:ascii="仿宋_GB2312" w:hAnsi="宋体" w:eastAsia="仿宋_GB2312" w:cs="宋体"/>
          <w:sz w:val="32"/>
          <w:szCs w:val="32"/>
        </w:rPr>
      </w:pPr>
    </w:p>
    <w:p w14:paraId="1295B5B8">
      <w:pPr>
        <w:spacing w:line="620" w:lineRule="exact"/>
        <w:ind w:firstLine="0" w:firstLineChars="0"/>
        <w:rPr>
          <w:rFonts w:ascii="仿宋_GB2312" w:hAnsi="宋体" w:eastAsia="仿宋_GB2312" w:cs="宋体"/>
          <w:sz w:val="32"/>
          <w:szCs w:val="32"/>
        </w:rPr>
      </w:pPr>
    </w:p>
    <w:p w14:paraId="292AF9F3">
      <w:pPr>
        <w:spacing w:line="620" w:lineRule="exact"/>
        <w:ind w:firstLine="0" w:firstLineChars="0"/>
        <w:rPr>
          <w:rFonts w:ascii="仿宋_GB2312" w:hAnsi="宋体" w:eastAsia="仿宋_GB2312" w:cs="宋体"/>
          <w:sz w:val="32"/>
          <w:szCs w:val="32"/>
        </w:rPr>
      </w:pPr>
    </w:p>
    <w:p w14:paraId="12060D51">
      <w:pPr>
        <w:spacing w:line="620" w:lineRule="exact"/>
        <w:ind w:firstLine="0" w:firstLineChars="0"/>
        <w:rPr>
          <w:rFonts w:ascii="仿宋_GB2312" w:hAnsi="宋体" w:eastAsia="仿宋_GB2312" w:cs="宋体"/>
          <w:sz w:val="32"/>
          <w:szCs w:val="32"/>
        </w:rPr>
      </w:pPr>
    </w:p>
    <w:p w14:paraId="113CC0E8">
      <w:pPr>
        <w:spacing w:line="620" w:lineRule="exact"/>
        <w:ind w:firstLine="0" w:firstLineChars="0"/>
        <w:rPr>
          <w:rFonts w:ascii="仿宋_GB2312" w:hAnsi="宋体" w:eastAsia="仿宋_GB2312" w:cs="宋体"/>
          <w:sz w:val="32"/>
          <w:szCs w:val="32"/>
        </w:rPr>
      </w:pPr>
    </w:p>
    <w:p w14:paraId="7B785EFD">
      <w:pPr>
        <w:spacing w:line="620" w:lineRule="exact"/>
        <w:ind w:firstLine="0" w:firstLineChars="0"/>
        <w:rPr>
          <w:rFonts w:ascii="仿宋_GB2312" w:hAnsi="宋体" w:eastAsia="仿宋_GB2312" w:cs="宋体"/>
          <w:sz w:val="32"/>
          <w:szCs w:val="32"/>
        </w:rPr>
      </w:pPr>
    </w:p>
    <w:p w14:paraId="20120F41">
      <w:pPr>
        <w:spacing w:line="620" w:lineRule="exact"/>
        <w:ind w:firstLine="0" w:firstLineChars="0"/>
        <w:rPr>
          <w:rFonts w:ascii="仿宋_GB2312" w:hAnsi="宋体" w:eastAsia="仿宋_GB2312" w:cs="宋体"/>
          <w:sz w:val="32"/>
          <w:szCs w:val="32"/>
        </w:rPr>
      </w:pPr>
    </w:p>
    <w:p w14:paraId="4BEC4EEB">
      <w:pPr>
        <w:spacing w:line="620" w:lineRule="exac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附件10-1</w:t>
      </w:r>
    </w:p>
    <w:p w14:paraId="733C0B35">
      <w:pPr>
        <w:spacing w:line="560" w:lineRule="exact"/>
        <w:ind w:firstLine="640"/>
        <w:rPr>
          <w:rFonts w:ascii="黑体" w:hAnsi="黑体" w:eastAsia="黑体" w:cs="宋体"/>
          <w:b/>
          <w:bCs/>
          <w:sz w:val="32"/>
          <w:szCs w:val="32"/>
        </w:rPr>
      </w:pPr>
    </w:p>
    <w:p w14:paraId="22AD65E7">
      <w:pPr>
        <w:spacing w:line="620" w:lineRule="exact"/>
        <w:jc w:val="center"/>
        <w:rPr>
          <w:rFonts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广西医科大学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同等学力硕士学校档案归档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目录</w:t>
      </w:r>
    </w:p>
    <w:p w14:paraId="6A97434F">
      <w:pPr>
        <w:spacing w:line="620" w:lineRule="exact"/>
        <w:rPr>
          <w:rFonts w:ascii="黑体" w:hAnsi="黑体" w:eastAsia="黑体" w:cs="黑体"/>
        </w:rPr>
      </w:pPr>
    </w:p>
    <w:p w14:paraId="579A0F6F">
      <w:pPr>
        <w:spacing w:line="320" w:lineRule="exact"/>
        <w:rPr>
          <w:rFonts w:ascii="黑体" w:hAnsi="黑体" w:eastAsia="黑体" w:cs="黑体"/>
          <w:sz w:val="28"/>
          <w:szCs w:val="28"/>
          <w:u w:val="single"/>
        </w:rPr>
      </w:pPr>
      <w:r>
        <w:rPr>
          <w:rFonts w:hint="eastAsia" w:ascii="黑体" w:hAnsi="黑体" w:eastAsia="黑体" w:cs="黑体"/>
          <w:sz w:val="28"/>
          <w:szCs w:val="28"/>
        </w:rPr>
        <w:t>学院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         </w:t>
      </w:r>
      <w:r>
        <w:rPr>
          <w:rFonts w:hint="eastAsia" w:ascii="黑体" w:hAnsi="黑体" w:eastAsia="黑体" w:cs="黑体"/>
          <w:sz w:val="28"/>
          <w:szCs w:val="28"/>
        </w:rPr>
        <w:t>学号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  </w:t>
      </w:r>
      <w:r>
        <w:rPr>
          <w:rFonts w:hint="eastAsia" w:ascii="黑体" w:hAnsi="黑体" w:eastAsia="黑体" w:cs="黑体"/>
          <w:sz w:val="28"/>
          <w:szCs w:val="28"/>
        </w:rPr>
        <w:t>姓名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   </w:t>
      </w:r>
    </w:p>
    <w:p w14:paraId="711F81DB">
      <w:pPr>
        <w:spacing w:line="320" w:lineRule="exact"/>
        <w:rPr>
          <w:rFonts w:ascii="黑体" w:hAnsi="黑体" w:eastAsia="黑体" w:cs="黑体"/>
          <w:sz w:val="28"/>
          <w:szCs w:val="28"/>
          <w:u w:val="single"/>
        </w:rPr>
      </w:pPr>
    </w:p>
    <w:p w14:paraId="0377AD13">
      <w:pPr>
        <w:spacing w:line="320" w:lineRule="exact"/>
        <w:rPr>
          <w:rFonts w:ascii="黑体" w:hAnsi="黑体" w:eastAsia="黑体" w:cs="黑体"/>
          <w:sz w:val="28"/>
          <w:szCs w:val="28"/>
          <w:u w:val="single"/>
        </w:rPr>
      </w:pPr>
    </w:p>
    <w:p w14:paraId="397020C7">
      <w:pPr>
        <w:spacing w:line="320" w:lineRule="exac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学位层次：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>同等学</w:t>
      </w:r>
      <w:r>
        <w:rPr>
          <w:rFonts w:hint="eastAsia" w:ascii="黑体" w:hAnsi="黑体" w:eastAsia="黑体" w:cs="黑体"/>
          <w:sz w:val="28"/>
          <w:szCs w:val="28"/>
          <w:u w:val="single"/>
          <w:lang w:val="en-US" w:eastAsia="zh-CN"/>
        </w:rPr>
        <w:t>力</w:t>
      </w:r>
      <w:r>
        <w:rPr>
          <w:rFonts w:hint="eastAsia" w:ascii="黑体" w:hAnsi="黑体" w:eastAsia="黑体" w:cs="黑体"/>
          <w:sz w:val="28"/>
          <w:szCs w:val="28"/>
          <w:u w:val="single"/>
        </w:rPr>
        <w:t>硕士</w:t>
      </w:r>
    </w:p>
    <w:p w14:paraId="3DE49300">
      <w:pPr>
        <w:spacing w:line="320" w:lineRule="exact"/>
        <w:rPr>
          <w:rFonts w:ascii="黑体" w:hAnsi="黑体" w:eastAsia="黑体" w:cs="黑体"/>
          <w:sz w:val="28"/>
          <w:szCs w:val="28"/>
        </w:rPr>
      </w:pPr>
    </w:p>
    <w:p w14:paraId="56F770A7">
      <w:pPr>
        <w:spacing w:line="320" w:lineRule="exac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学位类型：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>学术学位（    ）               专业学位（    ）</w:t>
      </w:r>
    </w:p>
    <w:p w14:paraId="69FDCB13">
      <w:pPr>
        <w:spacing w:line="320" w:lineRule="exact"/>
        <w:rPr>
          <w:rFonts w:ascii="黑体" w:hAnsi="黑体" w:eastAsia="黑体" w:cs="黑体"/>
          <w:sz w:val="28"/>
          <w:szCs w:val="28"/>
        </w:rPr>
      </w:pPr>
    </w:p>
    <w:p w14:paraId="49EE7E54">
      <w:pPr>
        <w:spacing w:line="320" w:lineRule="exact"/>
        <w:rPr>
          <w:rFonts w:ascii="黑体" w:hAnsi="黑体" w:eastAsia="黑体" w:cs="黑体"/>
          <w:sz w:val="28"/>
          <w:szCs w:val="28"/>
        </w:rPr>
      </w:pPr>
    </w:p>
    <w:tbl>
      <w:tblPr>
        <w:tblStyle w:val="5"/>
        <w:tblW w:w="4812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2"/>
        <w:gridCol w:w="3221"/>
        <w:gridCol w:w="2305"/>
        <w:gridCol w:w="1277"/>
        <w:gridCol w:w="1632"/>
      </w:tblGrid>
      <w:tr w14:paraId="38362D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6DBF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2322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归入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学校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档案材料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1AA1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要求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2A5D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审核结果（有打“</w:t>
            </w:r>
            <w:r>
              <w:rPr>
                <w:rFonts w:ascii="Arial" w:hAnsi="Arial" w:eastAsia="宋体" w:cs="Arial"/>
                <w:b/>
                <w:bCs/>
                <w:color w:val="000000"/>
                <w:kern w:val="0"/>
                <w:sz w:val="22"/>
                <w:szCs w:val="22"/>
              </w:rPr>
              <w:t>√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”，无打“</w:t>
            </w:r>
            <w:r>
              <w:rPr>
                <w:rFonts w:ascii="Arial" w:hAnsi="Arial" w:eastAsia="宋体" w:cs="Arial"/>
                <w:b/>
                <w:bCs/>
                <w:color w:val="000000"/>
                <w:kern w:val="0"/>
                <w:sz w:val="22"/>
                <w:szCs w:val="22"/>
              </w:rPr>
              <w:t>×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”）</w:t>
            </w:r>
          </w:p>
        </w:tc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4AFE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 w14:paraId="79EA4D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B338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7F75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研究生毕业论文答辩申请表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B144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一式一份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1DA9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30B1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011F37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0A3B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78933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论文评阅意见表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3份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A34B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一式一份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9325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442A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62D2EA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0C8F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C852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学位论文答辩委员会决议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DE8C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一式一份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7D30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7733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14091E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94181">
            <w:pPr>
              <w:widowControl/>
              <w:jc w:val="center"/>
              <w:textAlignment w:val="center"/>
              <w:rPr>
                <w:rFonts w:hint="default" w:asciiTheme="minorEastAsia" w:hAnsi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2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A28B1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申请学位相关学术成果审核表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0029A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一式一份</w:t>
            </w:r>
            <w:r>
              <w:rPr>
                <w:rFonts w:hint="eastAsia" w:ascii="宋体" w:hAnsi="宋体" w:eastAsia="宋体" w:cs="宋体"/>
                <w:bCs/>
                <w:kern w:val="0"/>
                <w:sz w:val="22"/>
                <w:szCs w:val="22"/>
              </w:rPr>
              <w:t>（硕士专业学位不需提供）</w:t>
            </w: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BEBB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989D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64C0FB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3FDA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4390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学位申请表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7D65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一式一份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5705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413B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</w:tbl>
    <w:tbl>
      <w:tblPr>
        <w:tblStyle w:val="6"/>
        <w:tblpPr w:leftFromText="180" w:rightFromText="180" w:vertAnchor="text" w:tblpX="10597" w:tblpY="-3304"/>
        <w:tblOverlap w:val="never"/>
        <w:tblW w:w="118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4"/>
      </w:tblGrid>
      <w:tr w14:paraId="2C5C6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5000" w:type="pct"/>
          </w:tcPr>
          <w:p w14:paraId="6E12CEF9">
            <w:pPr>
              <w:rPr>
                <w:rFonts w:ascii="黑体" w:hAnsi="黑体" w:eastAsia="黑体" w:cs="黑体"/>
              </w:rPr>
            </w:pPr>
          </w:p>
        </w:tc>
      </w:tr>
    </w:tbl>
    <w:tbl>
      <w:tblPr>
        <w:tblStyle w:val="6"/>
        <w:tblpPr w:leftFromText="180" w:rightFromText="180" w:vertAnchor="text" w:tblpX="10597" w:tblpY="-525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5"/>
      </w:tblGrid>
      <w:tr w14:paraId="03897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615" w:type="dxa"/>
          </w:tcPr>
          <w:p w14:paraId="7DCA2A8D">
            <w:pPr>
              <w:rPr>
                <w:rFonts w:ascii="黑体" w:hAnsi="黑体" w:eastAsia="黑体" w:cs="黑体"/>
              </w:rPr>
            </w:pPr>
          </w:p>
        </w:tc>
      </w:tr>
    </w:tbl>
    <w:tbl>
      <w:tblPr>
        <w:tblStyle w:val="6"/>
        <w:tblpPr w:leftFromText="180" w:rightFromText="180" w:vertAnchor="text" w:tblpX="10597" w:tblpY="-371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2"/>
      </w:tblGrid>
      <w:tr w14:paraId="4EDE0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542" w:type="dxa"/>
          </w:tcPr>
          <w:p w14:paraId="15AC9039">
            <w:pPr>
              <w:rPr>
                <w:rFonts w:ascii="黑体" w:hAnsi="黑体" w:eastAsia="黑体" w:cs="黑体"/>
              </w:rPr>
            </w:pPr>
          </w:p>
          <w:p w14:paraId="67275B0C">
            <w:pPr>
              <w:rPr>
                <w:rFonts w:ascii="黑体" w:hAnsi="黑体" w:eastAsia="黑体" w:cs="黑体"/>
              </w:rPr>
            </w:pPr>
          </w:p>
        </w:tc>
      </w:tr>
    </w:tbl>
    <w:p w14:paraId="1A4F3FCA">
      <w:pPr>
        <w:ind w:left="720" w:hanging="720" w:hangingChars="300"/>
        <w:rPr>
          <w:rFonts w:ascii="宋体" w:hAnsi="宋体" w:eastAsia="宋体" w:cs="宋体"/>
          <w:sz w:val="24"/>
          <w:szCs w:val="24"/>
        </w:rPr>
      </w:pPr>
    </w:p>
    <w:p w14:paraId="3F5B918C">
      <w:pPr>
        <w:ind w:left="720" w:hanging="720" w:hangingChars="300"/>
        <w:rPr>
          <w:rFonts w:ascii="宋体" w:hAnsi="宋体" w:eastAsia="宋体" w:cs="宋体"/>
          <w:sz w:val="24"/>
          <w:szCs w:val="24"/>
        </w:rPr>
      </w:pPr>
    </w:p>
    <w:p w14:paraId="2AC0EA38">
      <w:pPr>
        <w:ind w:left="720" w:hanging="720" w:hangingChars="30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  审核人签名：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</w:t>
      </w:r>
    </w:p>
    <w:p w14:paraId="0570281D">
      <w:pPr>
        <w:ind w:left="720" w:hanging="720" w:hangingChars="300"/>
        <w:rPr>
          <w:rFonts w:ascii="宋体" w:hAnsi="宋体" w:eastAsia="宋体" w:cs="宋体"/>
          <w:sz w:val="24"/>
          <w:szCs w:val="24"/>
          <w:u w:val="single"/>
        </w:rPr>
      </w:pPr>
    </w:p>
    <w:p w14:paraId="65A66CE8">
      <w:pPr>
        <w:ind w:left="720" w:hanging="720" w:hangingChars="3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说明：1.本表由二级学院在“审核结果”栏用黑色水性笔逐项打“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√</w:t>
      </w:r>
      <w:r>
        <w:rPr>
          <w:rFonts w:hint="eastAsia" w:ascii="宋体" w:hAnsi="宋体" w:eastAsia="宋体" w:cs="宋体"/>
          <w:sz w:val="24"/>
          <w:szCs w:val="24"/>
        </w:rPr>
        <w:t>”或者打“</w:t>
      </w:r>
      <w:r>
        <w:rPr>
          <w:rFonts w:ascii="Arial" w:hAnsi="Arial" w:eastAsia="宋体" w:cs="Arial"/>
          <w:sz w:val="24"/>
          <w:szCs w:val="24"/>
        </w:rPr>
        <w:t>×</w:t>
      </w:r>
      <w:r>
        <w:rPr>
          <w:rFonts w:hint="eastAsia" w:ascii="宋体" w:hAnsi="宋体" w:eastAsia="宋体" w:cs="宋体"/>
          <w:sz w:val="24"/>
          <w:szCs w:val="24"/>
        </w:rPr>
        <w:t>”，如有材料缺失，需手写说明原因。</w:t>
      </w:r>
    </w:p>
    <w:p w14:paraId="0BD657EF">
      <w:pPr>
        <w:ind w:firstLine="720" w:firstLineChars="3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2.如缺少某份材料，需在备注栏简单说明情况。</w:t>
      </w:r>
    </w:p>
    <w:p w14:paraId="61F2971A"/>
    <w:p w14:paraId="4CD56B99">
      <w:r>
        <w:br w:type="page"/>
      </w:r>
    </w:p>
    <w:p w14:paraId="6E24D92E">
      <w:pPr>
        <w:spacing w:line="620" w:lineRule="exact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附件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10-2</w:t>
      </w:r>
    </w:p>
    <w:p w14:paraId="3D21715B">
      <w:pPr>
        <w:spacing w:line="620" w:lineRule="exac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</w:p>
    <w:p w14:paraId="1C364608">
      <w:pPr>
        <w:spacing w:line="620" w:lineRule="exact"/>
        <w:jc w:val="center"/>
        <w:rPr>
          <w:rFonts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广西医科大学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同等学力硕士学习档案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目录</w:t>
      </w:r>
    </w:p>
    <w:p w14:paraId="33FA8A0F">
      <w:pPr>
        <w:spacing w:line="620" w:lineRule="exact"/>
        <w:rPr>
          <w:rFonts w:ascii="黑体" w:hAnsi="黑体" w:eastAsia="黑体" w:cs="黑体"/>
        </w:rPr>
      </w:pPr>
    </w:p>
    <w:p w14:paraId="795B4C57">
      <w:pPr>
        <w:spacing w:line="320" w:lineRule="exact"/>
        <w:rPr>
          <w:rFonts w:ascii="黑体" w:hAnsi="黑体" w:eastAsia="黑体" w:cs="黑体"/>
          <w:sz w:val="28"/>
          <w:szCs w:val="28"/>
          <w:u w:val="single"/>
        </w:rPr>
      </w:pPr>
      <w:r>
        <w:rPr>
          <w:rFonts w:hint="eastAsia" w:ascii="黑体" w:hAnsi="黑体" w:eastAsia="黑体" w:cs="黑体"/>
          <w:sz w:val="28"/>
          <w:szCs w:val="28"/>
        </w:rPr>
        <w:t>学院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         </w:t>
      </w:r>
      <w:r>
        <w:rPr>
          <w:rFonts w:hint="eastAsia" w:ascii="黑体" w:hAnsi="黑体" w:eastAsia="黑体" w:cs="黑体"/>
          <w:sz w:val="28"/>
          <w:szCs w:val="28"/>
        </w:rPr>
        <w:t>学号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  </w:t>
      </w:r>
      <w:r>
        <w:rPr>
          <w:rFonts w:hint="eastAsia" w:ascii="黑体" w:hAnsi="黑体" w:eastAsia="黑体" w:cs="黑体"/>
          <w:sz w:val="28"/>
          <w:szCs w:val="28"/>
        </w:rPr>
        <w:t>姓名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   </w:t>
      </w:r>
    </w:p>
    <w:p w14:paraId="529169E4">
      <w:pPr>
        <w:spacing w:line="320" w:lineRule="exact"/>
        <w:rPr>
          <w:rFonts w:ascii="黑体" w:hAnsi="黑体" w:eastAsia="黑体" w:cs="黑体"/>
          <w:sz w:val="28"/>
          <w:szCs w:val="28"/>
          <w:u w:val="single"/>
        </w:rPr>
      </w:pPr>
    </w:p>
    <w:p w14:paraId="3EEA0DC6">
      <w:pPr>
        <w:spacing w:line="320" w:lineRule="exact"/>
        <w:rPr>
          <w:rFonts w:ascii="黑体" w:hAnsi="黑体" w:eastAsia="黑体" w:cs="黑体"/>
          <w:sz w:val="28"/>
          <w:szCs w:val="28"/>
          <w:u w:val="single"/>
        </w:rPr>
      </w:pPr>
    </w:p>
    <w:p w14:paraId="4DB24F52">
      <w:pPr>
        <w:spacing w:line="320" w:lineRule="exac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学位层次：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>同等学</w:t>
      </w:r>
      <w:r>
        <w:rPr>
          <w:rFonts w:hint="eastAsia" w:ascii="黑体" w:hAnsi="黑体" w:eastAsia="黑体" w:cs="黑体"/>
          <w:sz w:val="28"/>
          <w:szCs w:val="28"/>
          <w:u w:val="single"/>
          <w:lang w:val="en-US" w:eastAsia="zh-CN"/>
        </w:rPr>
        <w:t>力</w:t>
      </w:r>
      <w:r>
        <w:rPr>
          <w:rFonts w:hint="eastAsia" w:ascii="黑体" w:hAnsi="黑体" w:eastAsia="黑体" w:cs="黑体"/>
          <w:sz w:val="28"/>
          <w:szCs w:val="28"/>
          <w:u w:val="single"/>
        </w:rPr>
        <w:t>硕士</w:t>
      </w:r>
    </w:p>
    <w:p w14:paraId="0D6A171E">
      <w:pPr>
        <w:spacing w:line="320" w:lineRule="exact"/>
        <w:rPr>
          <w:rFonts w:ascii="黑体" w:hAnsi="黑体" w:eastAsia="黑体" w:cs="黑体"/>
          <w:sz w:val="28"/>
          <w:szCs w:val="28"/>
        </w:rPr>
      </w:pPr>
    </w:p>
    <w:p w14:paraId="7BBDA3CB">
      <w:pPr>
        <w:spacing w:line="320" w:lineRule="exac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学位类型：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>学术学位（    ）               专业学位（    ）</w:t>
      </w:r>
    </w:p>
    <w:p w14:paraId="3FB87205">
      <w:pPr>
        <w:spacing w:line="320" w:lineRule="exact"/>
        <w:rPr>
          <w:rFonts w:ascii="黑体" w:hAnsi="黑体" w:eastAsia="黑体" w:cs="黑体"/>
          <w:sz w:val="28"/>
          <w:szCs w:val="28"/>
        </w:rPr>
      </w:pPr>
    </w:p>
    <w:p w14:paraId="0EEE4067">
      <w:pPr>
        <w:spacing w:line="320" w:lineRule="exact"/>
        <w:rPr>
          <w:rFonts w:ascii="黑体" w:hAnsi="黑体" w:eastAsia="黑体" w:cs="黑体"/>
          <w:sz w:val="28"/>
          <w:szCs w:val="28"/>
        </w:rPr>
      </w:pPr>
    </w:p>
    <w:tbl>
      <w:tblPr>
        <w:tblStyle w:val="5"/>
        <w:tblW w:w="4812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2"/>
        <w:gridCol w:w="3221"/>
        <w:gridCol w:w="2305"/>
        <w:gridCol w:w="1277"/>
        <w:gridCol w:w="1632"/>
      </w:tblGrid>
      <w:tr w14:paraId="3935C0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52E2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3F27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归入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学习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档案材料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61D7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要求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FA84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审核结果（有打“</w:t>
            </w:r>
            <w:r>
              <w:rPr>
                <w:rFonts w:ascii="Arial" w:hAnsi="Arial" w:eastAsia="宋体" w:cs="Arial"/>
                <w:b/>
                <w:bCs/>
                <w:color w:val="000000"/>
                <w:kern w:val="0"/>
                <w:sz w:val="22"/>
                <w:szCs w:val="22"/>
              </w:rPr>
              <w:t>√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”，无打“</w:t>
            </w:r>
            <w:r>
              <w:rPr>
                <w:rFonts w:ascii="Arial" w:hAnsi="Arial" w:eastAsia="宋体" w:cs="Arial"/>
                <w:b/>
                <w:bCs/>
                <w:color w:val="000000"/>
                <w:kern w:val="0"/>
                <w:sz w:val="22"/>
                <w:szCs w:val="22"/>
              </w:rPr>
              <w:t>×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”）</w:t>
            </w:r>
          </w:p>
        </w:tc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DFC2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 w14:paraId="3C5D51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83C2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CEE6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研究生毕业论文答辩申请表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6CBE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一式一份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BAB7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E866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4F110A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9ECE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682A7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论文评阅意见表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3份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BDA0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一式一份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A689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E6F9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64B126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9A48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66DB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学位论文答辩委员会决议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D9EE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一式一份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42E6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CC73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071957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11F3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4E99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学位申请表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05E4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一式一份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B07A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C25D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</w:tbl>
    <w:tbl>
      <w:tblPr>
        <w:tblStyle w:val="6"/>
        <w:tblpPr w:leftFromText="180" w:rightFromText="180" w:vertAnchor="text" w:tblpX="10597" w:tblpY="-3304"/>
        <w:tblOverlap w:val="never"/>
        <w:tblW w:w="118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4"/>
      </w:tblGrid>
      <w:tr w14:paraId="4F474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5000" w:type="pct"/>
          </w:tcPr>
          <w:p w14:paraId="12CED859">
            <w:pPr>
              <w:rPr>
                <w:rFonts w:ascii="黑体" w:hAnsi="黑体" w:eastAsia="黑体" w:cs="黑体"/>
              </w:rPr>
            </w:pPr>
          </w:p>
        </w:tc>
      </w:tr>
    </w:tbl>
    <w:tbl>
      <w:tblPr>
        <w:tblStyle w:val="6"/>
        <w:tblpPr w:leftFromText="180" w:rightFromText="180" w:vertAnchor="text" w:tblpX="10597" w:tblpY="-525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5"/>
      </w:tblGrid>
      <w:tr w14:paraId="4F19A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615" w:type="dxa"/>
          </w:tcPr>
          <w:p w14:paraId="439A461D">
            <w:pPr>
              <w:rPr>
                <w:rFonts w:ascii="黑体" w:hAnsi="黑体" w:eastAsia="黑体" w:cs="黑体"/>
              </w:rPr>
            </w:pPr>
          </w:p>
        </w:tc>
      </w:tr>
    </w:tbl>
    <w:tbl>
      <w:tblPr>
        <w:tblStyle w:val="6"/>
        <w:tblpPr w:leftFromText="180" w:rightFromText="180" w:vertAnchor="text" w:tblpX="10597" w:tblpY="-371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2"/>
      </w:tblGrid>
      <w:tr w14:paraId="28D5D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542" w:type="dxa"/>
          </w:tcPr>
          <w:p w14:paraId="61E8DEC2">
            <w:pPr>
              <w:rPr>
                <w:rFonts w:ascii="黑体" w:hAnsi="黑体" w:eastAsia="黑体" w:cs="黑体"/>
              </w:rPr>
            </w:pPr>
          </w:p>
          <w:p w14:paraId="58BBA17E">
            <w:pPr>
              <w:rPr>
                <w:rFonts w:ascii="黑体" w:hAnsi="黑体" w:eastAsia="黑体" w:cs="黑体"/>
              </w:rPr>
            </w:pPr>
          </w:p>
        </w:tc>
      </w:tr>
    </w:tbl>
    <w:p w14:paraId="620EA8D8">
      <w:pPr>
        <w:ind w:left="720" w:hanging="720" w:hangingChars="300"/>
        <w:rPr>
          <w:rFonts w:ascii="宋体" w:hAnsi="宋体" w:eastAsia="宋体" w:cs="宋体"/>
          <w:sz w:val="24"/>
          <w:szCs w:val="24"/>
        </w:rPr>
      </w:pPr>
    </w:p>
    <w:p w14:paraId="358D7A0E">
      <w:pPr>
        <w:ind w:left="720" w:hanging="720" w:hangingChars="300"/>
        <w:rPr>
          <w:rFonts w:ascii="宋体" w:hAnsi="宋体" w:eastAsia="宋体" w:cs="宋体"/>
          <w:sz w:val="24"/>
          <w:szCs w:val="24"/>
        </w:rPr>
      </w:pPr>
    </w:p>
    <w:p w14:paraId="2F66CA15">
      <w:pPr>
        <w:ind w:left="720" w:hanging="720" w:hangingChars="30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  审核人签名：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</w:t>
      </w:r>
    </w:p>
    <w:p w14:paraId="5444E5DF">
      <w:pPr>
        <w:ind w:left="720" w:hanging="720" w:hangingChars="300"/>
        <w:rPr>
          <w:rFonts w:ascii="宋体" w:hAnsi="宋体" w:eastAsia="宋体" w:cs="宋体"/>
          <w:sz w:val="24"/>
          <w:szCs w:val="24"/>
          <w:u w:val="single"/>
        </w:rPr>
      </w:pPr>
    </w:p>
    <w:p w14:paraId="73BB6256">
      <w:pPr>
        <w:ind w:left="720" w:hanging="720" w:hangingChars="3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说明：1.本表由二级学院在“审核结果”栏用黑色水性笔逐项打“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”或者打“×”，如有材料缺失，需手写说明原因。</w:t>
      </w:r>
    </w:p>
    <w:p w14:paraId="75ABE550">
      <w:pPr>
        <w:ind w:firstLine="720" w:firstLineChars="30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2.如缺少某份材料，需在备注栏简单说明情况。</w:t>
      </w:r>
    </w:p>
    <w:p w14:paraId="64D8AAD0"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3.二级学院统一交到研究生院三楼302办公室。</w:t>
      </w:r>
    </w:p>
    <w:p w14:paraId="05EFF43C"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</w:p>
    <w:p w14:paraId="5678AC0D">
      <w:pPr>
        <w:spacing w:line="400" w:lineRule="exact"/>
        <w:rPr>
          <w:rFonts w:hint="eastAsia" w:ascii="宋体" w:hAnsi="宋体" w:eastAsia="宋体" w:cs="宋体"/>
          <w:sz w:val="24"/>
          <w:szCs w:val="24"/>
        </w:rPr>
        <w:sectPr>
          <w:pgSz w:w="11906" w:h="16838"/>
          <w:pgMar w:top="1418" w:right="1418" w:bottom="1418" w:left="1418" w:header="851" w:footer="992" w:gutter="0"/>
          <w:cols w:space="425" w:num="1"/>
          <w:docGrid w:type="lines" w:linePitch="312" w:charSpace="0"/>
        </w:sectPr>
      </w:pPr>
    </w:p>
    <w:p w14:paraId="29437860">
      <w:pPr>
        <w:spacing w:line="620" w:lineRule="exact"/>
        <w:jc w:val="both"/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附件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10-3</w:t>
      </w:r>
    </w:p>
    <w:tbl>
      <w:tblPr>
        <w:tblStyle w:val="5"/>
        <w:tblW w:w="14081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1198"/>
        <w:gridCol w:w="1962"/>
        <w:gridCol w:w="2258"/>
        <w:gridCol w:w="1576"/>
        <w:gridCol w:w="1324"/>
        <w:gridCol w:w="1112"/>
        <w:gridCol w:w="950"/>
        <w:gridCol w:w="1400"/>
        <w:gridCol w:w="1325"/>
        <w:gridCol w:w="243"/>
      </w:tblGrid>
      <w:tr w14:paraId="557B99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  <w:trHeight w:val="931" w:hRule="atLeast"/>
        </w:trPr>
        <w:tc>
          <w:tcPr>
            <w:tcW w:w="138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CBB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广西医科大学2025届同等学力硕士档案归档材料移交登记表</w:t>
            </w:r>
          </w:p>
        </w:tc>
      </w:tr>
      <w:tr w14:paraId="59D7EB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  <w:trHeight w:val="1266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62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90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学院   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EB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学号</w:t>
            </w:r>
          </w:p>
        </w:tc>
        <w:tc>
          <w:tcPr>
            <w:tcW w:w="2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F9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学生姓名</w:t>
            </w: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7B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专业名称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F5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学位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论文答辩申请表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49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论文评阅意见表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78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学位论文答辩委员会决议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BF86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学位申请表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62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65FFD9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  <w:trHeight w:val="759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A0B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C45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DB6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AD2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B24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FE7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A6B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8D7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10B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F1F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72DA6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  <w:trHeight w:val="759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4F8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2B9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BD0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332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976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143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51B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99A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250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7AD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D3C76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  <w:trHeight w:val="759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4BA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3EC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45F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CDC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CC3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660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2E6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42E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BF8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409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DBF0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  <w:trHeight w:val="853" w:hRule="atLeast"/>
        </w:trPr>
        <w:tc>
          <w:tcPr>
            <w:tcW w:w="138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273E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合计：学位论文答辩申请表     份，论文评阅意见表    份，学位论文答辩委员会决议    份，学位申请表    份。  </w:t>
            </w:r>
          </w:p>
        </w:tc>
      </w:tr>
      <w:tr w14:paraId="4ED6A7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  <w:trHeight w:val="285" w:hRule="atLeast"/>
        </w:trPr>
        <w:tc>
          <w:tcPr>
            <w:tcW w:w="61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8492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移交部门：（公章）                                                </w:t>
            </w:r>
          </w:p>
        </w:tc>
        <w:tc>
          <w:tcPr>
            <w:tcW w:w="2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CE24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接收部门：（公章）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44E9F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14D3B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1DBD6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F438F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3510D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  <w:trHeight w:val="285" w:hRule="atLeast"/>
        </w:trPr>
        <w:tc>
          <w:tcPr>
            <w:tcW w:w="61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9980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移交负责人：（老师签字）                </w:t>
            </w:r>
          </w:p>
        </w:tc>
        <w:tc>
          <w:tcPr>
            <w:tcW w:w="2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D834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接收人：（签字）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0F48A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9B215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DA60B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20EAF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AB411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  <w:trHeight w:val="285" w:hRule="atLeast"/>
        </w:trPr>
        <w:tc>
          <w:tcPr>
            <w:tcW w:w="61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5D16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移交经手人、装袋人：（签字）                            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0A2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E99C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1C95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D0E9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19EF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CC86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EE82B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  <w:trHeight w:val="337" w:hRule="atLeast"/>
        </w:trPr>
        <w:tc>
          <w:tcPr>
            <w:tcW w:w="61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DD6C18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1FCB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7411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0B78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375F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BBC9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8545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21503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08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A5E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年   月   日</w:t>
            </w:r>
          </w:p>
        </w:tc>
      </w:tr>
    </w:tbl>
    <w:p w14:paraId="17F5A3F4">
      <w:pPr>
        <w:shd w:val="clear" w:color="auto" w:fill="FFFFFF"/>
        <w:adjustRightInd w:val="0"/>
        <w:snapToGrid w:val="0"/>
        <w:spacing w:line="620" w:lineRule="exac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7B5EA87F">
      <w:pPr>
        <w:spacing w:line="400" w:lineRule="exact"/>
        <w:rPr>
          <w:rFonts w:ascii="宋体" w:hAnsi="宋体" w:eastAsia="宋体" w:cs="宋体"/>
          <w:sz w:val="24"/>
          <w:szCs w:val="24"/>
        </w:rPr>
      </w:pPr>
    </w:p>
    <w:sectPr>
      <w:pgSz w:w="16838" w:h="11906" w:orient="landscape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7A1BE575-BC51-44FC-9FF7-1B46321A267B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F3AC0FE9-DB60-4DBA-83B4-E290176628E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ACB56086-722A-4EAF-86C4-C00854E5954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A5E2F312-6595-40BA-90AA-884C90BBB3AD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5" w:fontKey="{8C8DAF1B-1830-4EB2-A2B9-B9151342DB69}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6" w:fontKey="{463DE364-96B9-422F-8B65-58CA1E6D315E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00A5D2F9-0E65-40FD-86C7-5BBDD0C3EB0B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NotTrackFormatting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jlmZWNhMzRkZTc2MmNmMTBmYTkyMWRiYTAwOWYzMTEifQ=="/>
  </w:docVars>
  <w:rsids>
    <w:rsidRoot w:val="00D159CC"/>
    <w:rsid w:val="000111E6"/>
    <w:rsid w:val="0003756D"/>
    <w:rsid w:val="0006540B"/>
    <w:rsid w:val="00075E99"/>
    <w:rsid w:val="0009229C"/>
    <w:rsid w:val="0009497A"/>
    <w:rsid w:val="00094E23"/>
    <w:rsid w:val="000A695B"/>
    <w:rsid w:val="000D5045"/>
    <w:rsid w:val="000E7305"/>
    <w:rsid w:val="00100933"/>
    <w:rsid w:val="001011FE"/>
    <w:rsid w:val="00104FF4"/>
    <w:rsid w:val="00111F6E"/>
    <w:rsid w:val="00121223"/>
    <w:rsid w:val="00122418"/>
    <w:rsid w:val="00130326"/>
    <w:rsid w:val="0013151C"/>
    <w:rsid w:val="00184C67"/>
    <w:rsid w:val="001F1E6E"/>
    <w:rsid w:val="00247A1A"/>
    <w:rsid w:val="0025347C"/>
    <w:rsid w:val="00260165"/>
    <w:rsid w:val="0027386B"/>
    <w:rsid w:val="002C35D1"/>
    <w:rsid w:val="002D1681"/>
    <w:rsid w:val="003140C2"/>
    <w:rsid w:val="0033761E"/>
    <w:rsid w:val="00337A1D"/>
    <w:rsid w:val="00350847"/>
    <w:rsid w:val="00376422"/>
    <w:rsid w:val="0039517D"/>
    <w:rsid w:val="003A3DD8"/>
    <w:rsid w:val="003B2C5E"/>
    <w:rsid w:val="003C5C08"/>
    <w:rsid w:val="003E5CB1"/>
    <w:rsid w:val="003E640D"/>
    <w:rsid w:val="003F4DC6"/>
    <w:rsid w:val="00435006"/>
    <w:rsid w:val="00437445"/>
    <w:rsid w:val="004926F7"/>
    <w:rsid w:val="004C7FD7"/>
    <w:rsid w:val="00533A3E"/>
    <w:rsid w:val="00584AD6"/>
    <w:rsid w:val="005A4535"/>
    <w:rsid w:val="005B4F98"/>
    <w:rsid w:val="005C46EC"/>
    <w:rsid w:val="005F16B0"/>
    <w:rsid w:val="006171DA"/>
    <w:rsid w:val="0062003A"/>
    <w:rsid w:val="00623E07"/>
    <w:rsid w:val="00630BA9"/>
    <w:rsid w:val="00635518"/>
    <w:rsid w:val="00652E6A"/>
    <w:rsid w:val="0066086E"/>
    <w:rsid w:val="006619E0"/>
    <w:rsid w:val="006B137E"/>
    <w:rsid w:val="006D5E2B"/>
    <w:rsid w:val="006D7BC6"/>
    <w:rsid w:val="00740ADF"/>
    <w:rsid w:val="007421B1"/>
    <w:rsid w:val="0077575B"/>
    <w:rsid w:val="00783B29"/>
    <w:rsid w:val="00783C9A"/>
    <w:rsid w:val="007C107B"/>
    <w:rsid w:val="007D1945"/>
    <w:rsid w:val="0081138A"/>
    <w:rsid w:val="00846DC8"/>
    <w:rsid w:val="00857FDC"/>
    <w:rsid w:val="00862B48"/>
    <w:rsid w:val="008643DD"/>
    <w:rsid w:val="00892B5D"/>
    <w:rsid w:val="008B180A"/>
    <w:rsid w:val="008D28D9"/>
    <w:rsid w:val="008F5ED6"/>
    <w:rsid w:val="009331BE"/>
    <w:rsid w:val="00940018"/>
    <w:rsid w:val="009531D2"/>
    <w:rsid w:val="009D3C3E"/>
    <w:rsid w:val="00A114BC"/>
    <w:rsid w:val="00A26387"/>
    <w:rsid w:val="00A324C0"/>
    <w:rsid w:val="00A742AB"/>
    <w:rsid w:val="00A8047F"/>
    <w:rsid w:val="00A9287E"/>
    <w:rsid w:val="00AC1C98"/>
    <w:rsid w:val="00AC7A2E"/>
    <w:rsid w:val="00AD6FFE"/>
    <w:rsid w:val="00B479A5"/>
    <w:rsid w:val="00B60BD6"/>
    <w:rsid w:val="00B82DC5"/>
    <w:rsid w:val="00B84347"/>
    <w:rsid w:val="00BA2D66"/>
    <w:rsid w:val="00BA4E3D"/>
    <w:rsid w:val="00BB00C0"/>
    <w:rsid w:val="00BE1F4B"/>
    <w:rsid w:val="00C26371"/>
    <w:rsid w:val="00C33C30"/>
    <w:rsid w:val="00C60BDA"/>
    <w:rsid w:val="00C61803"/>
    <w:rsid w:val="00C61ED9"/>
    <w:rsid w:val="00C97633"/>
    <w:rsid w:val="00CA50A2"/>
    <w:rsid w:val="00CA761C"/>
    <w:rsid w:val="00CB3BF4"/>
    <w:rsid w:val="00CB618D"/>
    <w:rsid w:val="00D159CC"/>
    <w:rsid w:val="00D41F66"/>
    <w:rsid w:val="00DC26B9"/>
    <w:rsid w:val="00DE71F6"/>
    <w:rsid w:val="00DF5FB6"/>
    <w:rsid w:val="00E2044E"/>
    <w:rsid w:val="00E26600"/>
    <w:rsid w:val="00E30AC6"/>
    <w:rsid w:val="00E519E3"/>
    <w:rsid w:val="00E5208B"/>
    <w:rsid w:val="00E62C43"/>
    <w:rsid w:val="00E77A5A"/>
    <w:rsid w:val="00E95E78"/>
    <w:rsid w:val="00EA61C0"/>
    <w:rsid w:val="00EE0640"/>
    <w:rsid w:val="00EF7618"/>
    <w:rsid w:val="00F16B63"/>
    <w:rsid w:val="00F621D2"/>
    <w:rsid w:val="00F71294"/>
    <w:rsid w:val="00F9147B"/>
    <w:rsid w:val="00FA4EE4"/>
    <w:rsid w:val="00FD392A"/>
    <w:rsid w:val="00FE0862"/>
    <w:rsid w:val="00FE18D9"/>
    <w:rsid w:val="04210B24"/>
    <w:rsid w:val="065243EA"/>
    <w:rsid w:val="0D452207"/>
    <w:rsid w:val="0E0D7668"/>
    <w:rsid w:val="115979CD"/>
    <w:rsid w:val="119C2FE1"/>
    <w:rsid w:val="185160EF"/>
    <w:rsid w:val="1A5C1A9C"/>
    <w:rsid w:val="25F056C5"/>
    <w:rsid w:val="27EE3DFB"/>
    <w:rsid w:val="32820FEA"/>
    <w:rsid w:val="352F17D1"/>
    <w:rsid w:val="35301D0A"/>
    <w:rsid w:val="389104C8"/>
    <w:rsid w:val="44551E7E"/>
    <w:rsid w:val="45D3244B"/>
    <w:rsid w:val="4A51180D"/>
    <w:rsid w:val="4E5D6DDE"/>
    <w:rsid w:val="513E0EB3"/>
    <w:rsid w:val="543B593B"/>
    <w:rsid w:val="54E04FCC"/>
    <w:rsid w:val="594B0611"/>
    <w:rsid w:val="598002BB"/>
    <w:rsid w:val="59FF6D5E"/>
    <w:rsid w:val="66B912B0"/>
    <w:rsid w:val="71900DFF"/>
    <w:rsid w:val="7261340B"/>
    <w:rsid w:val="771B1DDA"/>
    <w:rsid w:val="79326BE4"/>
    <w:rsid w:val="7FB9721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autoRedefine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autoRedefine/>
    <w:qFormat/>
    <w:uiPriority w:val="99"/>
    <w:rPr>
      <w:sz w:val="18"/>
      <w:szCs w:val="18"/>
    </w:rPr>
  </w:style>
  <w:style w:type="character" w:customStyle="1" w:styleId="10">
    <w:name w:val="fontstyle01"/>
    <w:autoRedefine/>
    <w:qFormat/>
    <w:uiPriority w:val="0"/>
    <w:rPr>
      <w:rFonts w:hint="eastAsia" w:ascii="仿宋" w:hAnsi="仿宋" w:eastAsia="仿宋"/>
      <w:color w:val="000000"/>
      <w:sz w:val="32"/>
      <w:szCs w:val="32"/>
    </w:rPr>
  </w:style>
  <w:style w:type="paragraph" w:styleId="11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2">
    <w:name w:val="批注框文本 Char"/>
    <w:basedOn w:val="7"/>
    <w:link w:val="2"/>
    <w:autoRedefine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8</Pages>
  <Words>1577</Words>
  <Characters>1613</Characters>
  <Lines>13</Lines>
  <Paragraphs>3</Paragraphs>
  <TotalTime>7</TotalTime>
  <ScaleCrop>false</ScaleCrop>
  <LinksUpToDate>false</LinksUpToDate>
  <CharactersWithSpaces>1632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2023-02-22T00:22:00Z</dcterms:created>
  <dc:creator>PC</dc:creator>
  <cp:lastModifiedBy>WPS_1491656066</cp:lastModifiedBy>
  <dcterms:modified xsi:type="dcterms:W3CDTF">2025-10-13T01:08:05Z</dcterms:modified>
  <cp:revision>108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40BE312CCD0F499F8888B20BF6BBAB4E_13</vt:lpwstr>
  </property>
  <property fmtid="{D5CDD505-2E9C-101B-9397-08002B2CF9AE}" pid="4" name="KSOTemplateDocerSaveRecord">
    <vt:lpwstr>eyJoZGlkIjoiYjlmZWNhMzRkZTc2MmNmMTBmYTkyMWRiYTAwOWYzMTEiLCJ1c2VySWQiOiIyNzM3MTQzOTYifQ==</vt:lpwstr>
  </property>
</Properties>
</file>